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28" w:rsidRPr="005C1E65" w:rsidRDefault="005C1E65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</w:t>
      </w:r>
      <w:r w:rsidR="00577E28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PODRŠKE</w:t>
      </w:r>
      <w:r w:rsidR="00577E28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MALIM</w:t>
      </w:r>
      <w:r w:rsidR="00577E28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PREDUZEĆIMA</w:t>
      </w:r>
      <w:r w:rsidR="00577E28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7E28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br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NABAVKU</w:t>
      </w:r>
      <w:r w:rsidR="00577E28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201</w:t>
      </w:r>
      <w:r w:rsidR="00BA39D0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7</w:t>
      </w:r>
      <w:r w:rsidR="00577E28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GODINI</w:t>
      </w:r>
    </w:p>
    <w:p w:rsidR="00C676B6" w:rsidRPr="005C1E65" w:rsidRDefault="00C676B6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</w:p>
    <w:p w:rsidR="00C676B6" w:rsidRPr="005C1E65" w:rsidRDefault="00C676B6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277BB" w:rsidRPr="005C1E65" w:rsidRDefault="005C1E65" w:rsidP="00C676B6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99/16),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razdela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8A228F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</w:t>
      </w:r>
      <w:r w:rsidR="008A228F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20.0,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8A228F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1509</w:t>
      </w:r>
      <w:r w:rsidR="002061DE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410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Subvencije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nefinansijskim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organizacijama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700.000.000,00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550.000.000,00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C676B6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namenjeno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malim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5277BB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BA39D0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Neutrošena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B32F3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>17.720.592</w:t>
      </w:r>
      <w:r w:rsidR="00FB32F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00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E311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31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/1</w:t>
      </w:r>
      <w:r w:rsidR="000E311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311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77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/1</w:t>
      </w:r>
      <w:r w:rsidR="000E311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subvencionisanje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predstavljaju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subvenciju</w:t>
      </w:r>
      <w:r w:rsidR="004A6F39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A6F39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izuzeta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prinudne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naplate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de minimis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95–97.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pravilima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13/10, 100/11, 91/12, 37/13, 97/13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119/14).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odabranim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3451F" w:rsidRPr="005C1E65" w:rsidRDefault="0083451F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</w:p>
    <w:p w:rsidR="0083451F" w:rsidRPr="005C1E65" w:rsidRDefault="0083451F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jeste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jačanje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konkurentnosti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njihovog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internacionalizacije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kreiranje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Specifični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tehnoloških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procesa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poboljšanje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konkurentnosti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obima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prometa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rizika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niže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povećavanje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dugoročnih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izvora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promovisanje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primarnog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dovoljnog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poboljšanje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kreditne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jačanje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izvora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83451F" w:rsidRPr="005C1E65" w:rsidRDefault="0083451F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opredeljena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uključene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proces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razmenjivih</w:t>
      </w:r>
      <w:r w:rsidR="00922BA5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dobara</w:t>
      </w:r>
      <w:r w:rsidR="00922BA5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mašina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0304D" w:rsidRPr="005C1E65" w:rsidRDefault="00577E28" w:rsidP="00C676B6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transportno</w:t>
      </w:r>
      <w:r w:rsidR="00A86939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manipulativnih</w:t>
      </w:r>
      <w:r w:rsidR="00A86939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B50D8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uključenih</w:t>
      </w:r>
      <w:r w:rsidR="00814198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50D8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="003B50D8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A86939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86939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unutrašnjeg</w:t>
      </w:r>
      <w:r w:rsidR="00A86939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="0083451F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E17ABD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delova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specijalizovanih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alata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mašine</w:t>
      </w:r>
      <w:r w:rsidR="0083451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83451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="0083451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kapitalnih</w:t>
      </w:r>
      <w:r w:rsidR="0083451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dobara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kupljena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prodavac</w:t>
      </w:r>
      <w:r w:rsidR="007452C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452C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);</w:t>
      </w:r>
    </w:p>
    <w:p w:rsidR="00577E28" w:rsidRPr="005C1E65" w:rsidRDefault="00767087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pokrivanje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carinski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administrativni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transporta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špedicije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skladištenja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manipulacije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montaže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instaliranja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.;</w:t>
      </w:r>
    </w:p>
    <w:p w:rsidR="00577E28" w:rsidRPr="005C1E65" w:rsidRDefault="00767087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pokrivanje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bankarskog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trošak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biroa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pokretnosti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kursnih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.;</w:t>
      </w:r>
    </w:p>
    <w:p w:rsidR="00577E28" w:rsidRPr="005C1E65" w:rsidRDefault="00767087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refundaciju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nabavljenu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avansiranu</w:t>
      </w:r>
      <w:r w:rsidR="00227B4D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plaćenu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isporučenu</w:t>
      </w:r>
      <w:r w:rsidR="00BA39D0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767087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zajmove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rate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reprogram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a;</w:t>
      </w:r>
    </w:p>
    <w:p w:rsidR="00577E28" w:rsidRPr="005C1E65" w:rsidRDefault="00767087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3451F" w:rsidRPr="005C1E65" w:rsidRDefault="0083451F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</w:t>
      </w:r>
    </w:p>
    <w:p w:rsidR="0083451F" w:rsidRPr="005C1E65" w:rsidRDefault="0083451F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C26EB6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uključene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preostalih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70%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uključenih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2.500.000,00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D053B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nabavna</w:t>
      </w:r>
      <w:r w:rsidR="007D053B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cena</w:t>
      </w:r>
      <w:r w:rsidR="007D053B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7D053B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iskazana</w:t>
      </w:r>
      <w:r w:rsidR="007D053B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D053B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profakturi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7D053B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predračunu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predugovoru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transporta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puštanjem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predugovoru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dobavljača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inostranstva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valuti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predugovoru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preračunava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eventualne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kasnije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nastale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kursne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inostranstva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snosi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4.1.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Banke</w:t>
      </w:r>
    </w:p>
    <w:p w:rsidR="0083451F" w:rsidRPr="005C1E65" w:rsidRDefault="0083451F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sopstvenim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zabranu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otuđenja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kontrolišu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izveštavaju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531E3" w:rsidRPr="005C1E65" w:rsidRDefault="003531E3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4.2.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Lizing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kompanij</w:t>
      </w:r>
      <w:r w:rsidR="00572FDD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</w:t>
      </w:r>
    </w:p>
    <w:p w:rsidR="0083451F" w:rsidRPr="005C1E65" w:rsidRDefault="0083451F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sopstvenim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PDV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55/03, 61/05, 31/11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99/11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izmirenja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izmirenju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zabranu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otuđi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prevremene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kontroliše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izveštavaju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3451F" w:rsidRPr="005C1E65" w:rsidRDefault="0083451F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PRAVILA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br/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PROGRAMU</w:t>
      </w:r>
    </w:p>
    <w:p w:rsidR="0083451F" w:rsidRPr="005C1E65" w:rsidRDefault="0083451F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5.1.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Korisnici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bespovratnih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sredstava</w:t>
      </w:r>
    </w:p>
    <w:p w:rsidR="0083451F" w:rsidRPr="005C1E65" w:rsidRDefault="0083451F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registrovana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zadruge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razvrstana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računovodstvu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62/13)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finansijskim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izveštajima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C17C5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FD1A1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FD1A1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preduzetnici</w:t>
      </w:r>
      <w:r w:rsidR="002837A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registrovani</w:t>
      </w:r>
      <w:r w:rsidR="002837A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837A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</w:t>
      </w:r>
      <w:r w:rsidR="002837A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3451F" w:rsidRPr="005C1E65" w:rsidRDefault="0083451F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5.2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Uslovi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moraju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ispune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podnosioci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prijave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br/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83451F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dodelu</w:t>
      </w:r>
      <w:r w:rsidR="0083451F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bespovratnih</w:t>
      </w:r>
      <w:r w:rsidR="0083451F"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sredstava</w:t>
      </w:r>
    </w:p>
    <w:p w:rsidR="0083451F" w:rsidRPr="005C1E65" w:rsidRDefault="0083451F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C17C57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podneli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jednoj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uključenih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C17C5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CF6016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0304D" w:rsidRPr="005C1E65" w:rsidRDefault="0075180B" w:rsidP="00C676B6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popunjen</w:t>
      </w:r>
      <w:r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potrebnom</w:t>
      </w:r>
      <w:r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dokazuju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dole</w:t>
      </w:r>
      <w:r w:rsidR="00603C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603C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03603" w:rsidRPr="005C1E65" w:rsidRDefault="0075180B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profakturu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predugovor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873D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stariji</w:t>
      </w:r>
      <w:r w:rsidR="003873D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873D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873D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3873D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873D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3873D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73D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873D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3873D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isporučena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niti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plaćena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delimično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celosti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datuma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AC402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70487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0487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70487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70487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FE2D9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5180B" w:rsidRPr="005C1E65" w:rsidRDefault="00903603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C17C5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sliku</w:t>
      </w:r>
      <w:r w:rsidR="00C17C5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C17C5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00866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profakture</w:t>
      </w:r>
      <w:r w:rsidR="0075180B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5180B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upisani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decembra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201</w:t>
      </w:r>
      <w:r w:rsidR="004A6F39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75180B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3)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razvrstani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veliko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računovodstvu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izveštajima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75180B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pokrenut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likvidacije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75180B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izmirili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dospele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A1531C" w:rsidRPr="005C1E65" w:rsidRDefault="0075180B" w:rsidP="00C676B6">
      <w:pPr>
        <w:tabs>
          <w:tab w:val="left" w:pos="5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izrečena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pravosnažna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zabrane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0304D" w:rsidRPr="005C1E65" w:rsidRDefault="0075180B" w:rsidP="00C676B6">
      <w:pPr>
        <w:tabs>
          <w:tab w:val="left" w:pos="567"/>
        </w:tabs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7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vlasnici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osuđivani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vodi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istraga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krivični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FE2D9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E2D9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krivična</w:t>
      </w:r>
      <w:r w:rsidR="00FE2D9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</w:t>
      </w:r>
      <w:r w:rsidR="00FE2D9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FE2D9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A1531C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8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većinskom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vlasništvu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povezanih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velika</w:t>
      </w:r>
      <w:r w:rsidR="00C17C5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C17C5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1206E0" w:rsidRPr="005C1E65" w:rsidRDefault="00A1531C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9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svrha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investiranja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0304D" w:rsidRPr="005C1E65" w:rsidRDefault="006F2E9B" w:rsidP="00C676B6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zadruge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preduzetnici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obaveznog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socijalnog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radnika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</w:t>
      </w:r>
      <w:r w:rsidR="008A4872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8A4872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54A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2016.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1D54A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imali</w:t>
      </w:r>
      <w:r w:rsidR="001D54A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1D54A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1D54A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zaposlenog</w:t>
      </w:r>
      <w:r w:rsidR="001D54A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D54A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1D54A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3873D1" w:rsidRPr="005C1E6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A1531C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1D36BD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Primarna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poljoprivredna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gajenje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kultura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domaćih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neposrednoj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gajenjem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biljaka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21B0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skladištenje</w:t>
      </w:r>
      <w:r w:rsidR="00FE2D9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isključena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nabavka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pakovanja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sortiranja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prerade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zamrzavanja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="0017561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hladnjače</w:t>
      </w:r>
      <w:r w:rsidR="00FE2D9F" w:rsidRPr="005C1E6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613487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D36BD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građevinskih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građevinskih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dozvoljena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1D36BD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saobraćaj</w:t>
      </w:r>
      <w:r w:rsidR="00613487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13487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="00613487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  <w:r w:rsidR="00097B24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1D36BD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duvanskih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D36BD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trgovinske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ugostiteljske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pekara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proizvodnjom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prodajom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kolača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torti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keteringa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D36BD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štampanje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umnožavanje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audio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video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štamparskih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E66481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uslužne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konsultantske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marketinške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računovodstvene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tržišta</w:t>
      </w:r>
      <w:r w:rsidR="006269B9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69B9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69B9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6269B9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6269B9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informacione</w:t>
      </w:r>
      <w:r w:rsidR="006269B9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tehnologije</w:t>
      </w:r>
      <w:r w:rsidR="00A85295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A85295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85295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emitovanja</w:t>
      </w:r>
      <w:r w:rsidR="00A85295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digitalnog</w:t>
      </w:r>
      <w:r w:rsidR="00A85295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sadržaja</w:t>
      </w:r>
      <w:r w:rsidR="008F083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</w:p>
    <w:p w:rsidR="001D36BD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igara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sreću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lutrija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sličnih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1D36BD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oružja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vojne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1D36BD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naftnih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derivata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1D36BD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čelika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sintetičkih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vlakana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vađenje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D36BD" w:rsidRPr="005C1E65" w:rsidRDefault="005C1E65" w:rsidP="00613487">
      <w:pPr>
        <w:pStyle w:val="ListParagraph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domaćim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konvencijama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sporazumima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smatraju</w:t>
      </w:r>
      <w:r w:rsidR="001D36B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zabranjenim</w:t>
      </w:r>
      <w:r w:rsidR="008F083D" w:rsidRPr="005C1E6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D36BD" w:rsidRPr="005C1E65" w:rsidRDefault="005C1E65" w:rsidP="00C676B6">
      <w:pPr>
        <w:pStyle w:val="Text1"/>
        <w:spacing w:after="0"/>
        <w:ind w:left="0" w:firstLine="426"/>
        <w:rPr>
          <w:noProof/>
          <w:szCs w:val="24"/>
        </w:rPr>
      </w:pPr>
      <w:r>
        <w:rPr>
          <w:noProof/>
          <w:szCs w:val="24"/>
        </w:rPr>
        <w:t>Sredstva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po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ovom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programu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ne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mogu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se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koristiti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ni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za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projekte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privrednih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subjekata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u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drugim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delatnostima</w:t>
      </w:r>
      <w:r w:rsidR="001D36BD" w:rsidRPr="005C1E65">
        <w:rPr>
          <w:noProof/>
          <w:szCs w:val="24"/>
        </w:rPr>
        <w:t xml:space="preserve">, </w:t>
      </w:r>
      <w:r>
        <w:rPr>
          <w:noProof/>
          <w:szCs w:val="24"/>
        </w:rPr>
        <w:t>ako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ne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doprinose</w:t>
      </w:r>
      <w:r w:rsidR="001D36BD" w:rsidRPr="005C1E65">
        <w:rPr>
          <w:noProof/>
          <w:szCs w:val="24"/>
        </w:rPr>
        <w:t xml:space="preserve"> </w:t>
      </w:r>
      <w:r>
        <w:rPr>
          <w:noProof/>
          <w:szCs w:val="24"/>
        </w:rPr>
        <w:t>ostvarivanju</w:t>
      </w:r>
      <w:r w:rsidR="00ED595F" w:rsidRPr="005C1E65">
        <w:rPr>
          <w:noProof/>
          <w:szCs w:val="24"/>
        </w:rPr>
        <w:t xml:space="preserve"> </w:t>
      </w:r>
      <w:r>
        <w:rPr>
          <w:noProof/>
          <w:szCs w:val="24"/>
        </w:rPr>
        <w:t>specifičnih</w:t>
      </w:r>
      <w:r w:rsidR="00ED595F" w:rsidRPr="005C1E65">
        <w:rPr>
          <w:noProof/>
          <w:szCs w:val="24"/>
        </w:rPr>
        <w:t xml:space="preserve"> </w:t>
      </w:r>
      <w:r>
        <w:rPr>
          <w:noProof/>
          <w:szCs w:val="24"/>
        </w:rPr>
        <w:t>ciljeva</w:t>
      </w:r>
      <w:r w:rsidR="00ED595F" w:rsidRPr="005C1E65">
        <w:rPr>
          <w:noProof/>
          <w:szCs w:val="24"/>
        </w:rPr>
        <w:t xml:space="preserve"> </w:t>
      </w:r>
      <w:r>
        <w:rPr>
          <w:noProof/>
          <w:szCs w:val="24"/>
        </w:rPr>
        <w:t>Programa</w:t>
      </w:r>
      <w:r w:rsidR="00ED595F" w:rsidRPr="005C1E65">
        <w:rPr>
          <w:noProof/>
          <w:szCs w:val="24"/>
        </w:rPr>
        <w:t>.</w:t>
      </w:r>
    </w:p>
    <w:p w:rsidR="00577E28" w:rsidRPr="005C1E65" w:rsidRDefault="001206E0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12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sposoban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sopstvenim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akcionara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spreči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gubitke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intervencije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kratkoročno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srednjoročno</w:t>
      </w:r>
      <w:r w:rsidR="00385C85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ugrozili</w:t>
      </w:r>
      <w:r w:rsidR="00385C85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</w:t>
      </w:r>
      <w:r w:rsidR="00385C85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opstanak</w:t>
      </w:r>
      <w:r w:rsidR="00385C85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577E28" w:rsidRPr="005C1E65" w:rsidRDefault="00EC234F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odgovornost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ograničena</w:t>
      </w:r>
      <w:r w:rsidR="0061348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izgubio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polovine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poslednjih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izgubio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četvrtine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EC234F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neograničeno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prikazano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polovine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poslednjih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izgubljeno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četvrtine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EC234F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61348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1348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otvaranje</w:t>
      </w:r>
      <w:r w:rsidR="0061348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stečajnog</w:t>
      </w:r>
      <w:r w:rsidR="0061348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61348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nijedan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očigledni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pokazatelji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ukazuju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gubitaka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zaliha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višak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tokova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porast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nulta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najvećim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teškoćama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nesposoban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insolventan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otvoren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teškoćama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 w:rsidR="003436A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tekućoj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fiskalnoj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1D36BD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201</w:t>
      </w:r>
      <w:r w:rsidR="001D36BD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1D36BD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primili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zajedno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traženim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sredstvima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prekoračila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62AB6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23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miliona</w:t>
      </w:r>
      <w:r w:rsidR="00A62AB6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77E28" w:rsidRPr="005C1E65" w:rsidRDefault="00577E2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 w:rsidR="003436A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primili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prethodne</w:t>
      </w:r>
      <w:r w:rsidR="00243187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3873D1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EC234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531E3" w:rsidRPr="005C1E65" w:rsidRDefault="003531E3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5.3.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Podnošenje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zahteva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dodelu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bespovratnih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sredstava</w:t>
      </w:r>
    </w:p>
    <w:p w:rsidR="00E100D8" w:rsidRPr="005C1E65" w:rsidRDefault="00E100D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distribuira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objavljeni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www.privreda.gov.rs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www.ras.gov.rs.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otvoren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utroše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istovremeno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ekspozituri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filijali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popunjenog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obrasca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dokazuje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5.1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zadovoljavaju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uzet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razmatranje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odbijen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prvobitan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100D8" w:rsidRPr="005C1E65" w:rsidRDefault="00E100D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100D8" w:rsidRPr="005C1E65" w:rsidRDefault="00E100D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5.4.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Postupak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dodele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bespovratnih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sredstava</w:t>
      </w:r>
    </w:p>
    <w:p w:rsidR="00E100D8" w:rsidRPr="005C1E65" w:rsidRDefault="00E100D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ocenjuje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preliminarnu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prihvatanju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primljenim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6E429B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obrazloženje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nedeljnom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obrazuje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formalne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prihvatanju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redosledu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formalno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odlučuje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usled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nastupanja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neplaniranih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okolnosti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5.1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Radi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potpunijeg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sagledavanja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zatraži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pojašnjenja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verifikaciju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prihvatanju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banci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prihvatanju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obaveštenje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de minimis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osam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obaveštavaju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zaključuju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četiri</w:t>
      </w:r>
      <w:r w:rsidR="00A62AB6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vratiti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onaj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zaveden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odustali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dodeljenih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potpiše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sklopljen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ništavim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naročito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iskoristi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okonča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vremenski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kupljenu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dodeljenih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otuđi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blanko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menica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utvrdi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nenamensko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trošenje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eventualne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zloupotrebe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uplati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ugovoreno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uplate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banci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fakture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proslede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fakture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prosledi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100D8" w:rsidRPr="005C1E65" w:rsidRDefault="00E100D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5.5.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Postupak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prigovoru</w:t>
      </w:r>
    </w:p>
    <w:p w:rsidR="00E100D8" w:rsidRPr="005C1E65" w:rsidRDefault="00E100D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odbila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osam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ministru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preporučenom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Kneza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Miloša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20, 11000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odlučuje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100D8" w:rsidRPr="005C1E65" w:rsidRDefault="00E100D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100D8" w:rsidRPr="005C1E65" w:rsidRDefault="00E100D8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6.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</w:p>
    <w:p w:rsidR="00E100D8" w:rsidRPr="005C1E65" w:rsidRDefault="00E100D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6.1.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Odabir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banaka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lizing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kompanija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učešće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br/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realizaciji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Programa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E100D8" w:rsidRPr="005C1E65" w:rsidRDefault="00E100D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raspisati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distribuira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objavljeni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www.privreda.gov.rs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www.ras.gov.rs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upućeni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posluju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Republici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trenutno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dozvolu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bliže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formalne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selekciju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obrazuje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potpunijeg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sagledavanja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kvaliteta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selekciju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pojašnjenja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intervju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zainteresovane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Obavezujući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zainteresovane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141F8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počeka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141F8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kupljenom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opremom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pokretnoj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kupovine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141F8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isključuje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hipoteka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hipoteku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uzeta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A62AB6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141F8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isključuje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trenutka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opremi</w:t>
      </w:r>
      <w:r w:rsidR="003873D1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</w:p>
    <w:p w:rsidR="007141F8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potencijalni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1%;</w:t>
      </w:r>
    </w:p>
    <w:p w:rsidR="00577E28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otplatiti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prevremeno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bankom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prevremenu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otplatu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trećine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otplate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vrate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celokupan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odobrenih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C874D3" w:rsidRPr="005C1E6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D97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Neophodno</w:t>
      </w:r>
      <w:r w:rsidR="00097B24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97B24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97B24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</w:t>
      </w:r>
      <w:r w:rsidR="00097B24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potencijalni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zasebno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B53CDF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53CDF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otvaranja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namenskog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53CDF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pribavljanja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kreditnog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biroa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53CDF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menica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53CDF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založne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53CDF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77E28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Obavezujući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zainteresovane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577E28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počeka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53CDF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primarna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menice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ostaje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definisanih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53CDF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predmetom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istekom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izvršenoj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ugovorenog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obuhvatati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kompletnu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577E28" w:rsidRPr="005C1E65" w:rsidRDefault="005C1E65" w:rsidP="00D97EAF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isključuje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hipoteka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77E28" w:rsidRPr="005C1E65" w:rsidRDefault="005C1E65" w:rsidP="00D97EAF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otplatiti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kompanijom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trećine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celokupan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odobrenih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D97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potencijalni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zasebno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D547D1" w:rsidRPr="005C1E65" w:rsidRDefault="005C1E65" w:rsidP="00D97EAF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547D1" w:rsidRPr="005C1E65" w:rsidRDefault="005C1E65" w:rsidP="00D97EAF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pribavljanja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kreditnog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biroa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547D1" w:rsidRPr="005C1E65" w:rsidRDefault="005C1E65" w:rsidP="00D97EAF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menica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547D1" w:rsidRPr="005C1E65" w:rsidRDefault="005C1E65" w:rsidP="00D97EAF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77E28" w:rsidRPr="005C1E65" w:rsidRDefault="005C1E65" w:rsidP="00D97EAF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="00577E28" w:rsidRPr="005C1E6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97EAF" w:rsidRPr="005C1E65" w:rsidRDefault="00D97EAF" w:rsidP="00D97EA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97EAF" w:rsidRPr="005C1E65" w:rsidRDefault="00D97EAF" w:rsidP="00D97EA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1130"/>
        <w:gridCol w:w="1845"/>
        <w:gridCol w:w="3983"/>
      </w:tblGrid>
      <w:tr w:rsidR="008A228F" w:rsidRPr="005C1E65" w:rsidTr="00577E2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Ročnost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Efektivna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kamatna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stopa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EKS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Dinarski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Valutna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klauzula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EUR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varijabilna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1. 18 </w:t>
            </w:r>
            <w:r w:rsid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2. 24 </w:t>
            </w:r>
            <w:r w:rsid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3. 36 </w:t>
            </w:r>
            <w:r w:rsid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4. 48 </w:t>
            </w:r>
            <w:r w:rsid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5. 60 </w:t>
            </w:r>
            <w:r w:rsid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8B79AF" w:rsidRPr="005C1E65" w:rsidRDefault="005C1E65" w:rsidP="00C676B6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Napomena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dostavile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diskvalifikovane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bodovanje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najviša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koristiti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metodologiju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izgledu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uručuju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65/11)</w:t>
      </w:r>
      <w:r w:rsidR="00D97EAF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obzira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fizička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uključiti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izuzev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procene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imovinskog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zaloge</w:t>
      </w:r>
      <w:r w:rsidR="00707EF5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4622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Obračunata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efektivna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kamatna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stopa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odobravanja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klijentu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iskazane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385C85" w:rsidRPr="005C1E65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uračunavanja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66386D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ročnosti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1130"/>
        <w:gridCol w:w="1845"/>
        <w:gridCol w:w="3983"/>
      </w:tblGrid>
      <w:tr w:rsidR="008A228F" w:rsidRPr="005C1E65" w:rsidTr="00577E2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Ročnost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Efektivna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kamatna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stopa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EKS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Dinarski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Valutna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klauzula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EUR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varijabilna</w:t>
            </w:r>
            <w:r w:rsidR="00577E28"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C1E65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1. 18 </w:t>
            </w:r>
            <w:r w:rsid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 xml:space="preserve">2. 24 </w:t>
            </w:r>
            <w:r w:rsid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3. 36 </w:t>
            </w:r>
            <w:r w:rsid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4. 48 </w:t>
            </w:r>
            <w:r w:rsid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A228F" w:rsidRPr="005C1E65" w:rsidTr="00577E2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5. 60 </w:t>
            </w:r>
            <w:r w:rsidR="005C1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77E28" w:rsidRPr="005C1E65" w:rsidRDefault="00577E28" w:rsidP="00C676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89766C" w:rsidRPr="005C1E65" w:rsidRDefault="005C1E65" w:rsidP="00C67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Napomena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dostavile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diskvalifikovane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bodovanje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najviša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koristiti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metodologiju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Odlukom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načinu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izgledu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sadržini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uručuju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korisniku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uključiti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izuzev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procene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punog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imovinskog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predmetu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zaloge</w:t>
      </w:r>
      <w:r w:rsidR="0089766C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> 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Obračunata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efektivna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kamatna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stopa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odobravanja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klijentu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iskazane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97EAF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26BCB" w:rsidRPr="005C1E65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385C85" w:rsidRPr="005C1E65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uračunavanja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89766C" w:rsidRPr="005C1E6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međusobno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ročnost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F101A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valutu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efektivne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međusobno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ročnost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valutu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Sabiranjem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dobijenih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rangova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finalna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selekciju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FF3039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FF3039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maksimalno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="004C777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najbolje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rangiranih</w:t>
      </w:r>
      <w:r w:rsidR="00F01036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maksimalno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jedna</w:t>
      </w:r>
      <w:r w:rsidR="004C777E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najbolje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selekciju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odbila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osam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ministru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preporučenom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Kneza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Miloša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20, 11000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odlučuje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07473" w:rsidRPr="005C1E65" w:rsidRDefault="00F07473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77E28" w:rsidRPr="005C1E65" w:rsidRDefault="000B07B4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6.2.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Ugovor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realizaciji</w:t>
      </w:r>
      <w:r w:rsidRP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Programa</w:t>
      </w:r>
    </w:p>
    <w:p w:rsidR="00D97EAF" w:rsidRPr="005C1E65" w:rsidRDefault="00D97EAF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zaključivanja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namenske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račune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drugostepena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namenskog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pisanog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obaveštenja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mogućim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nepravilnostima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prevremeno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trojni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prikupljanja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obrade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redovnog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izveštavanja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eventualnim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nepravilnostima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zloupotrebama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</w:t>
      </w:r>
      <w:r w:rsidR="005B2E1D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celokupna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podračun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trezor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97EAF" w:rsidRPr="005C1E65" w:rsidRDefault="00D97EAF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77E28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7.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</w:p>
    <w:p w:rsidR="00D97EAF" w:rsidRPr="005C1E65" w:rsidRDefault="00D97EAF" w:rsidP="00C676B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namenskog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fazi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svakom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omogućena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uvid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77E28" w:rsidRPr="005C1E65" w:rsidRDefault="005C1E65" w:rsidP="00C676B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završetku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270E3B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8</w:t>
      </w:r>
      <w:r w:rsidR="00C874D3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informisanja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577E28" w:rsidRPr="005C1E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31157" w:rsidRPr="005C1E65" w:rsidRDefault="00C31157" w:rsidP="00C676B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608CD" w:rsidRPr="005C1E65" w:rsidRDefault="007608CD" w:rsidP="00C676B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7608CD" w:rsidRPr="005C1E65" w:rsidSect="00792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2C" w:rsidRDefault="00CC222C" w:rsidP="00166D42">
      <w:pPr>
        <w:spacing w:after="0" w:line="240" w:lineRule="auto"/>
      </w:pPr>
      <w:r>
        <w:separator/>
      </w:r>
    </w:p>
  </w:endnote>
  <w:endnote w:type="continuationSeparator" w:id="0">
    <w:p w:rsidR="00CC222C" w:rsidRDefault="00CC222C" w:rsidP="0016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65" w:rsidRDefault="005C1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23" w:rsidRDefault="00AC4023">
    <w:pPr>
      <w:pStyle w:val="Footer"/>
      <w:jc w:val="right"/>
    </w:pPr>
  </w:p>
  <w:p w:rsidR="00AC4023" w:rsidRDefault="00AC40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65" w:rsidRDefault="005C1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2C" w:rsidRDefault="00CC222C" w:rsidP="00166D42">
      <w:pPr>
        <w:spacing w:after="0" w:line="240" w:lineRule="auto"/>
      </w:pPr>
      <w:r>
        <w:separator/>
      </w:r>
    </w:p>
  </w:footnote>
  <w:footnote w:type="continuationSeparator" w:id="0">
    <w:p w:rsidR="00CC222C" w:rsidRDefault="00CC222C" w:rsidP="0016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65" w:rsidRDefault="005C1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020622848"/>
      <w:docPartObj>
        <w:docPartGallery w:val="Page Numbers (Top of Page)"/>
        <w:docPartUnique/>
      </w:docPartObj>
    </w:sdtPr>
    <w:sdtEndPr/>
    <w:sdtContent>
      <w:p w:rsidR="00792A99" w:rsidRPr="005C1E65" w:rsidRDefault="00792A99">
        <w:pPr>
          <w:pStyle w:val="Header"/>
          <w:jc w:val="center"/>
          <w:rPr>
            <w:noProof/>
            <w:lang w:val="sr-Latn-CS"/>
          </w:rPr>
        </w:pPr>
        <w:r w:rsidRPr="005C1E65">
          <w:rPr>
            <w:noProof/>
            <w:lang w:val="sr-Latn-CS"/>
          </w:rPr>
          <w:fldChar w:fldCharType="begin"/>
        </w:r>
        <w:r w:rsidRPr="005C1E65">
          <w:rPr>
            <w:noProof/>
            <w:lang w:val="sr-Latn-CS"/>
          </w:rPr>
          <w:instrText xml:space="preserve"> PAGE   \* MERGEFORMAT </w:instrText>
        </w:r>
        <w:r w:rsidRPr="005C1E65">
          <w:rPr>
            <w:noProof/>
            <w:lang w:val="sr-Latn-CS"/>
          </w:rPr>
          <w:fldChar w:fldCharType="separate"/>
        </w:r>
        <w:r w:rsidR="005C1E65">
          <w:rPr>
            <w:noProof/>
            <w:lang w:val="sr-Latn-CS"/>
          </w:rPr>
          <w:t>10</w:t>
        </w:r>
        <w:r w:rsidRPr="005C1E65">
          <w:rPr>
            <w:noProof/>
            <w:lang w:val="sr-Latn-CS"/>
          </w:rPr>
          <w:fldChar w:fldCharType="end"/>
        </w:r>
      </w:p>
    </w:sdtContent>
  </w:sdt>
  <w:p w:rsidR="00C5313D" w:rsidRPr="005C1E65" w:rsidRDefault="00C5313D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65" w:rsidRDefault="005C1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17B"/>
    <w:multiLevelType w:val="hybridMultilevel"/>
    <w:tmpl w:val="37F05F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4DB3"/>
    <w:multiLevelType w:val="hybridMultilevel"/>
    <w:tmpl w:val="27EA9698"/>
    <w:lvl w:ilvl="0" w:tplc="F6A4B916">
      <w:start w:val="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13767F4"/>
    <w:multiLevelType w:val="hybridMultilevel"/>
    <w:tmpl w:val="91C0F244"/>
    <w:lvl w:ilvl="0" w:tplc="43962554">
      <w:start w:val="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3CF70B6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5ADE39CD"/>
    <w:multiLevelType w:val="hybridMultilevel"/>
    <w:tmpl w:val="7BCE0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E3B78"/>
    <w:multiLevelType w:val="hybridMultilevel"/>
    <w:tmpl w:val="33DE1174"/>
    <w:lvl w:ilvl="0" w:tplc="A920B520">
      <w:start w:val="4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28"/>
    <w:rsid w:val="00004CDC"/>
    <w:rsid w:val="000374B6"/>
    <w:rsid w:val="000507BE"/>
    <w:rsid w:val="000727D4"/>
    <w:rsid w:val="00097B24"/>
    <w:rsid w:val="000A285E"/>
    <w:rsid w:val="000B07B4"/>
    <w:rsid w:val="000C5C1B"/>
    <w:rsid w:val="000E311C"/>
    <w:rsid w:val="000E37B0"/>
    <w:rsid w:val="000F14E9"/>
    <w:rsid w:val="001206E0"/>
    <w:rsid w:val="001449C3"/>
    <w:rsid w:val="0014622E"/>
    <w:rsid w:val="0014674B"/>
    <w:rsid w:val="00166D42"/>
    <w:rsid w:val="00167F0E"/>
    <w:rsid w:val="001732C4"/>
    <w:rsid w:val="00175613"/>
    <w:rsid w:val="00194206"/>
    <w:rsid w:val="001B28BF"/>
    <w:rsid w:val="001B2901"/>
    <w:rsid w:val="001D36BD"/>
    <w:rsid w:val="001D54A1"/>
    <w:rsid w:val="002012A9"/>
    <w:rsid w:val="002061DE"/>
    <w:rsid w:val="00212964"/>
    <w:rsid w:val="00227B4D"/>
    <w:rsid w:val="002300DA"/>
    <w:rsid w:val="0023223A"/>
    <w:rsid w:val="00243187"/>
    <w:rsid w:val="00245B9E"/>
    <w:rsid w:val="00260EA5"/>
    <w:rsid w:val="00270E3B"/>
    <w:rsid w:val="002837A7"/>
    <w:rsid w:val="0028522C"/>
    <w:rsid w:val="002B224E"/>
    <w:rsid w:val="00300756"/>
    <w:rsid w:val="00302A4A"/>
    <w:rsid w:val="0031547D"/>
    <w:rsid w:val="003328E0"/>
    <w:rsid w:val="003436A3"/>
    <w:rsid w:val="003531E3"/>
    <w:rsid w:val="00385C85"/>
    <w:rsid w:val="003873D1"/>
    <w:rsid w:val="0039045D"/>
    <w:rsid w:val="003B50D8"/>
    <w:rsid w:val="003C1015"/>
    <w:rsid w:val="003C2312"/>
    <w:rsid w:val="003D102E"/>
    <w:rsid w:val="00413DF6"/>
    <w:rsid w:val="0042263A"/>
    <w:rsid w:val="0043053C"/>
    <w:rsid w:val="00444DCB"/>
    <w:rsid w:val="004A4E01"/>
    <w:rsid w:val="004A6F39"/>
    <w:rsid w:val="004C777E"/>
    <w:rsid w:val="004F27C7"/>
    <w:rsid w:val="00517BB9"/>
    <w:rsid w:val="005277BB"/>
    <w:rsid w:val="00572FDD"/>
    <w:rsid w:val="00577E28"/>
    <w:rsid w:val="0059180B"/>
    <w:rsid w:val="005951A9"/>
    <w:rsid w:val="005B2E1D"/>
    <w:rsid w:val="005B48BE"/>
    <w:rsid w:val="005C1E65"/>
    <w:rsid w:val="005C619B"/>
    <w:rsid w:val="005F101A"/>
    <w:rsid w:val="00603CD1"/>
    <w:rsid w:val="00613487"/>
    <w:rsid w:val="006269B9"/>
    <w:rsid w:val="0066386D"/>
    <w:rsid w:val="00673F95"/>
    <w:rsid w:val="0068224D"/>
    <w:rsid w:val="006879DF"/>
    <w:rsid w:val="006D0525"/>
    <w:rsid w:val="006E429B"/>
    <w:rsid w:val="006F2E9B"/>
    <w:rsid w:val="00704873"/>
    <w:rsid w:val="00707EF5"/>
    <w:rsid w:val="007141F8"/>
    <w:rsid w:val="0072433D"/>
    <w:rsid w:val="007452CC"/>
    <w:rsid w:val="00747CCB"/>
    <w:rsid w:val="0075180B"/>
    <w:rsid w:val="007608CD"/>
    <w:rsid w:val="00766092"/>
    <w:rsid w:val="00767087"/>
    <w:rsid w:val="00775476"/>
    <w:rsid w:val="00792A99"/>
    <w:rsid w:val="007A766B"/>
    <w:rsid w:val="007B2514"/>
    <w:rsid w:val="007C1258"/>
    <w:rsid w:val="007D053B"/>
    <w:rsid w:val="007D28A3"/>
    <w:rsid w:val="007D465E"/>
    <w:rsid w:val="007D794C"/>
    <w:rsid w:val="007E4017"/>
    <w:rsid w:val="007E4ACF"/>
    <w:rsid w:val="00814198"/>
    <w:rsid w:val="00821B01"/>
    <w:rsid w:val="008255F7"/>
    <w:rsid w:val="0083451F"/>
    <w:rsid w:val="00857DF5"/>
    <w:rsid w:val="00866D7C"/>
    <w:rsid w:val="00870CA2"/>
    <w:rsid w:val="00881B24"/>
    <w:rsid w:val="0089766C"/>
    <w:rsid w:val="008A228F"/>
    <w:rsid w:val="008A4872"/>
    <w:rsid w:val="008B79AF"/>
    <w:rsid w:val="008E675C"/>
    <w:rsid w:val="008E7D0F"/>
    <w:rsid w:val="008F083D"/>
    <w:rsid w:val="00903603"/>
    <w:rsid w:val="00922BA5"/>
    <w:rsid w:val="00953C14"/>
    <w:rsid w:val="00961518"/>
    <w:rsid w:val="009625DC"/>
    <w:rsid w:val="009A04E5"/>
    <w:rsid w:val="009D78AE"/>
    <w:rsid w:val="009F3153"/>
    <w:rsid w:val="00A00866"/>
    <w:rsid w:val="00A1531C"/>
    <w:rsid w:val="00A16CB1"/>
    <w:rsid w:val="00A62AB6"/>
    <w:rsid w:val="00A73CD1"/>
    <w:rsid w:val="00A754BC"/>
    <w:rsid w:val="00A772A1"/>
    <w:rsid w:val="00A85295"/>
    <w:rsid w:val="00A86939"/>
    <w:rsid w:val="00A94A4D"/>
    <w:rsid w:val="00AB3766"/>
    <w:rsid w:val="00AC05C2"/>
    <w:rsid w:val="00AC4023"/>
    <w:rsid w:val="00AE1B13"/>
    <w:rsid w:val="00AF5D71"/>
    <w:rsid w:val="00AF6A02"/>
    <w:rsid w:val="00B0101B"/>
    <w:rsid w:val="00B11B42"/>
    <w:rsid w:val="00B35927"/>
    <w:rsid w:val="00B40A01"/>
    <w:rsid w:val="00B40EFF"/>
    <w:rsid w:val="00B51393"/>
    <w:rsid w:val="00B53CDF"/>
    <w:rsid w:val="00B623BE"/>
    <w:rsid w:val="00B76CD9"/>
    <w:rsid w:val="00BA32C7"/>
    <w:rsid w:val="00BA39D0"/>
    <w:rsid w:val="00BE2047"/>
    <w:rsid w:val="00C057C6"/>
    <w:rsid w:val="00C17C57"/>
    <w:rsid w:val="00C26EB6"/>
    <w:rsid w:val="00C30876"/>
    <w:rsid w:val="00C31157"/>
    <w:rsid w:val="00C5313D"/>
    <w:rsid w:val="00C577DB"/>
    <w:rsid w:val="00C676B6"/>
    <w:rsid w:val="00C80E81"/>
    <w:rsid w:val="00C874D3"/>
    <w:rsid w:val="00CB23A8"/>
    <w:rsid w:val="00CC222C"/>
    <w:rsid w:val="00CF5424"/>
    <w:rsid w:val="00CF6016"/>
    <w:rsid w:val="00D547D1"/>
    <w:rsid w:val="00D72675"/>
    <w:rsid w:val="00D97EAF"/>
    <w:rsid w:val="00DB122D"/>
    <w:rsid w:val="00DC7D5A"/>
    <w:rsid w:val="00E100D8"/>
    <w:rsid w:val="00E111A7"/>
    <w:rsid w:val="00E16DD8"/>
    <w:rsid w:val="00E17ABD"/>
    <w:rsid w:val="00E248E0"/>
    <w:rsid w:val="00E24F2A"/>
    <w:rsid w:val="00E31295"/>
    <w:rsid w:val="00E4179F"/>
    <w:rsid w:val="00E43C27"/>
    <w:rsid w:val="00E66481"/>
    <w:rsid w:val="00E7234D"/>
    <w:rsid w:val="00E81182"/>
    <w:rsid w:val="00E842DC"/>
    <w:rsid w:val="00EB7B34"/>
    <w:rsid w:val="00EC234F"/>
    <w:rsid w:val="00ED595F"/>
    <w:rsid w:val="00F01036"/>
    <w:rsid w:val="00F01CF6"/>
    <w:rsid w:val="00F0304D"/>
    <w:rsid w:val="00F05D88"/>
    <w:rsid w:val="00F07473"/>
    <w:rsid w:val="00F17DCE"/>
    <w:rsid w:val="00F26BCB"/>
    <w:rsid w:val="00F5274B"/>
    <w:rsid w:val="00F97A85"/>
    <w:rsid w:val="00FA0199"/>
    <w:rsid w:val="00FA1D28"/>
    <w:rsid w:val="00FB32F3"/>
    <w:rsid w:val="00FD1A1C"/>
    <w:rsid w:val="00FD77C1"/>
    <w:rsid w:val="00FE2D9F"/>
    <w:rsid w:val="00FF060C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C7A63-1C3E-4FC5-91E2-F4FB2F19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1">
    <w:name w:val="broj1"/>
    <w:basedOn w:val="Normal"/>
    <w:rsid w:val="00577E2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odluka-zakon1">
    <w:name w:val="odluka-zakon1"/>
    <w:basedOn w:val="Normal"/>
    <w:rsid w:val="00577E28"/>
    <w:pPr>
      <w:spacing w:before="360" w:after="15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naslov1">
    <w:name w:val="naslov1"/>
    <w:basedOn w:val="Normal"/>
    <w:rsid w:val="00577E2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clan1">
    <w:name w:val="clan1"/>
    <w:basedOn w:val="Normal"/>
    <w:rsid w:val="00577E28"/>
    <w:pPr>
      <w:spacing w:before="420" w:after="0" w:line="210" w:lineRule="atLeast"/>
      <w:ind w:firstLine="480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potpis1">
    <w:name w:val="potpis1"/>
    <w:basedOn w:val="Normal"/>
    <w:rsid w:val="00577E28"/>
    <w:pPr>
      <w:spacing w:before="100" w:beforeAutospacing="1" w:after="0" w:line="210" w:lineRule="atLeast"/>
      <w:ind w:firstLine="480"/>
      <w:jc w:val="right"/>
    </w:pPr>
    <w:rPr>
      <w:rFonts w:ascii="Verdana" w:eastAsia="Times New Roman" w:hAnsi="Verdana" w:cs="Times New Roman"/>
      <w:sz w:val="15"/>
      <w:szCs w:val="15"/>
    </w:rPr>
  </w:style>
  <w:style w:type="character" w:customStyle="1" w:styleId="bold1">
    <w:name w:val="bold1"/>
    <w:basedOn w:val="DefaultParagraphFont"/>
    <w:rsid w:val="00577E28"/>
    <w:rPr>
      <w:b/>
      <w:bCs/>
    </w:rPr>
  </w:style>
  <w:style w:type="paragraph" w:customStyle="1" w:styleId="bold2">
    <w:name w:val="bold2"/>
    <w:basedOn w:val="Normal"/>
    <w:rsid w:val="00577E28"/>
    <w:pPr>
      <w:spacing w:before="100" w:beforeAutospacing="1" w:after="0" w:line="210" w:lineRule="atLeast"/>
      <w:ind w:firstLine="480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7E4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1D36B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6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42"/>
  </w:style>
  <w:style w:type="paragraph" w:styleId="Footer">
    <w:name w:val="footer"/>
    <w:basedOn w:val="Normal"/>
    <w:link w:val="FooterChar"/>
    <w:uiPriority w:val="99"/>
    <w:unhideWhenUsed/>
    <w:rsid w:val="0016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42"/>
  </w:style>
  <w:style w:type="character" w:customStyle="1" w:styleId="rvts3">
    <w:name w:val="rvts3"/>
    <w:basedOn w:val="DefaultParagraphFont"/>
    <w:rsid w:val="007608CD"/>
  </w:style>
  <w:style w:type="paragraph" w:customStyle="1" w:styleId="rvps1">
    <w:name w:val="rvps1"/>
    <w:basedOn w:val="Normal"/>
    <w:rsid w:val="0076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608C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08CD"/>
    <w:rPr>
      <w:rFonts w:ascii="Consolas" w:eastAsia="Calibri" w:hAnsi="Consolas" w:cs="Times New Roman"/>
      <w:sz w:val="21"/>
      <w:szCs w:val="21"/>
    </w:rPr>
  </w:style>
  <w:style w:type="paragraph" w:customStyle="1" w:styleId="1tekst">
    <w:name w:val="1tekst"/>
    <w:basedOn w:val="Normal"/>
    <w:rsid w:val="007608CD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608CD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608CD"/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stil1tekst">
    <w:name w:val="stil_1tekst"/>
    <w:basedOn w:val="Normal"/>
    <w:rsid w:val="00A754BC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6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6B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76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F249-22F3-4A03-9FDB-6F92CFAC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dubravka.bucalovic</dc:creator>
  <cp:lastModifiedBy>Bojan Grgic</cp:lastModifiedBy>
  <cp:revision>2</cp:revision>
  <cp:lastPrinted>2017-02-23T11:42:00Z</cp:lastPrinted>
  <dcterms:created xsi:type="dcterms:W3CDTF">2017-02-23T15:18:00Z</dcterms:created>
  <dcterms:modified xsi:type="dcterms:W3CDTF">2017-02-23T15:18:00Z</dcterms:modified>
</cp:coreProperties>
</file>